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b w:val="0"/>
          <w:sz w:val="44"/>
          <w:szCs w:val="44"/>
        </w:rPr>
      </w:pPr>
      <w:r>
        <w:rPr>
          <w:rFonts w:hint="eastAsia" w:ascii="方正小标宋_GBK" w:hAnsi="方正小标宋_GBK" w:eastAsia="方正小标宋_GBK" w:cs="方正小标宋_GBK"/>
          <w:b w:val="0"/>
          <w:sz w:val="44"/>
          <w:szCs w:val="44"/>
        </w:rPr>
        <w:t>新疆美术馆2024年度部门决算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公开说明</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b w:val="0"/>
          <w:sz w:val="0"/>
          <w:szCs w:val="0"/>
        </w:rPr>
        <w:br w:type="page"/>
      </w:r>
      <w:r>
        <w:rPr>
          <w:rFonts w:hint="eastAsia" w:ascii="仿宋_GB2312" w:hAnsi="仿宋_GB2312" w:eastAsia="仿宋_GB2312" w:cs="仿宋_GB2312"/>
          <w:b/>
          <w:bCs w:val="0"/>
          <w:kern w:val="0"/>
          <w:sz w:val="36"/>
          <w:szCs w:val="36"/>
          <w:highlight w:val="none"/>
        </w:rPr>
        <w:t>目  录</w:t>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w:t>
      </w:r>
      <w:r>
        <w:rPr>
          <w:rFonts w:hint="eastAsia" w:ascii="仿宋_GB2312" w:hAnsi="仿宋_GB2312" w:eastAsia="仿宋_GB2312" w:cs="仿宋_GB2312"/>
          <w:b/>
          <w:bCs/>
          <w:sz w:val="32"/>
          <w:szCs w:val="32"/>
          <w:highlight w:val="none"/>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Cs w:val="32"/>
          <w:highlight w:val="none"/>
        </w:rPr>
        <w:fldChar w:fldCharType="end"/>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五部分 项目绩效自评</w:t>
      </w:r>
      <w:r>
        <w:rPr>
          <w:rFonts w:hint="eastAsia" w:ascii="仿宋_GB2312" w:hAnsi="仿宋_GB2312" w:eastAsia="仿宋_GB2312" w:cs="仿宋_GB2312"/>
          <w:b/>
          <w:bCs/>
          <w:sz w:val="32"/>
          <w:szCs w:val="32"/>
          <w:highlight w:val="none"/>
        </w:rPr>
        <w:t>表（见附</w:t>
      </w:r>
      <w:r>
        <w:rPr>
          <w:rFonts w:hint="eastAsia" w:ascii="仿宋_GB2312" w:hAnsi="仿宋_GB2312" w:eastAsia="仿宋_GB2312" w:cs="仿宋_GB2312"/>
          <w:b/>
          <w:bCs/>
          <w:sz w:val="32"/>
          <w:szCs w:val="32"/>
          <w:highlight w:val="none"/>
          <w:lang w:val="en-US" w:eastAsia="zh-CN"/>
        </w:rPr>
        <w:t>件2</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六部分 项目绩效自评报告</w:t>
      </w:r>
      <w:r>
        <w:rPr>
          <w:rFonts w:hint="eastAsia" w:ascii="仿宋_GB2312" w:hAnsi="仿宋_GB2312" w:eastAsia="仿宋_GB2312" w:cs="仿宋_GB2312"/>
          <w:b/>
          <w:bCs/>
          <w:sz w:val="32"/>
          <w:szCs w:val="32"/>
          <w:highlight w:val="none"/>
        </w:rPr>
        <w:t>（见附</w:t>
      </w:r>
      <w:r>
        <w:rPr>
          <w:rFonts w:hint="eastAsia" w:ascii="仿宋_GB2312" w:hAnsi="仿宋_GB2312" w:eastAsia="仿宋_GB2312" w:cs="仿宋_GB2312"/>
          <w:b/>
          <w:bCs/>
          <w:sz w:val="32"/>
          <w:szCs w:val="32"/>
          <w:highlight w:val="none"/>
          <w:lang w:val="en-US" w:eastAsia="zh-CN"/>
        </w:rPr>
        <w:t>件3</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hint="default" w:ascii="仿宋_GB2312" w:eastAsia="仿宋_GB2312"/>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美术馆承担全区美术作品、美术文献及相关资料的展览、陈列征集、收藏任务；开展学术研究、教育推广、对外交流和公共文化服务；组织开展书法艺术创作、理论研究及对外文化交流活动；开展书法艺术培训、普及、展览和收藏工作；承担书法艺术传承发展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新疆美术馆2024年度，实有人数20人，其中：在职人员19人，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ascii="仿宋_GB2312" w:eastAsia="仿宋_GB2312"/>
          <w:b w:val="0"/>
          <w:sz w:val="32"/>
          <w:szCs w:val="32"/>
        </w:rPr>
        <w:t>；离休人员0人，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ascii="仿宋_GB2312" w:eastAsia="仿宋_GB2312"/>
          <w:b w:val="0"/>
          <w:sz w:val="32"/>
          <w:szCs w:val="32"/>
        </w:rPr>
        <w:t>；退休人员1人，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新疆美术馆</w:t>
      </w:r>
      <w:r>
        <w:rPr>
          <w:rFonts w:ascii="仿宋_GB2312" w:eastAsia="仿宋_GB2312"/>
          <w:b w:val="0"/>
          <w:sz w:val="32"/>
          <w:szCs w:val="32"/>
        </w:rPr>
        <w:t>无下属预算单位，下设6个</w:t>
      </w:r>
      <w:r>
        <w:rPr>
          <w:rFonts w:hint="eastAsia" w:ascii="仿宋_GB2312" w:eastAsia="仿宋_GB2312"/>
          <w:b w:val="0"/>
          <w:sz w:val="32"/>
          <w:szCs w:val="32"/>
          <w:lang w:val="en-US" w:eastAsia="zh-CN"/>
        </w:rPr>
        <w:t>科室</w:t>
      </w:r>
      <w:r>
        <w:rPr>
          <w:rFonts w:ascii="仿宋_GB2312" w:eastAsia="仿宋_GB2312"/>
          <w:b w:val="0"/>
          <w:sz w:val="32"/>
          <w:szCs w:val="32"/>
        </w:rPr>
        <w:t>，分别是：综合部、展览部、公共教育部、典藏部、研究发展部、安保部。</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2024年度收入总计3,284.17万元，</w:t>
      </w:r>
      <w:r>
        <w:rPr>
          <w:rFonts w:ascii="仿宋_GB2312" w:eastAsia="仿宋_GB2312"/>
          <w:b w:val="0"/>
          <w:sz w:val="32"/>
          <w:szCs w:val="32"/>
        </w:rPr>
        <w:t>其中：本年收入合计3,284.17万元，使用非财政拨款结余（含专用结余）0.00万元，年初结转和结余0.00万元。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2024年度支出总计3,284.17万元，</w:t>
      </w:r>
      <w:r>
        <w:rPr>
          <w:rFonts w:ascii="仿宋_GB2312" w:eastAsia="仿宋_GB2312"/>
          <w:b w:val="0"/>
          <w:sz w:val="32"/>
          <w:szCs w:val="32"/>
        </w:rPr>
        <w:t>其中：本年支出合计3,260.10万元，结余分配0.00万元，年末结转和结余24.06万元。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减少341.21万元，下降9.41%，主要原因是：本年减少艺术中心电费、设备购置费及中央补助地方公共文化服务体系建设补助资金。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本年收入3,284.17万元，</w:t>
      </w:r>
      <w:r>
        <w:rPr>
          <w:rFonts w:ascii="仿宋_GB2312" w:eastAsia="仿宋_GB2312"/>
          <w:b w:val="0"/>
          <w:sz w:val="32"/>
          <w:szCs w:val="32"/>
        </w:rPr>
        <w:t>其中：财政拨款收入3,205.38万元,占97.60%；上级补助收入0.00万元,占0.00%；事业收入33.88万元，占1.03%；经营收入0.00万元,占0.00%；附属单位上缴收入0.00万元，占0.00%；其他收入44.90万元，占1.37%。</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本年支出3,260.10万元，</w:t>
      </w:r>
      <w:r>
        <w:rPr>
          <w:rFonts w:ascii="仿宋_GB2312" w:eastAsia="仿宋_GB2312"/>
          <w:b w:val="0"/>
          <w:sz w:val="32"/>
          <w:szCs w:val="32"/>
        </w:rPr>
        <w:t>其中：基本支出2,024.48万元，占62.10%；项目支出1,235.62万元，占37.90%；上缴上级支出0.00万元，占0.00%；经营支出0.00万元，占0.00%；对附属单位补助支出0.00万元，占0.00%。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2024年度财政拨款收入总计3,205.38万元</w:t>
      </w:r>
      <w:r>
        <w:rPr>
          <w:rFonts w:ascii="仿宋_GB2312" w:eastAsia="仿宋_GB2312"/>
          <w:b w:val="0"/>
          <w:sz w:val="32"/>
          <w:szCs w:val="32"/>
        </w:rPr>
        <w:t>，其中：年初财政拨款结转和结余0.00万元，本年财政拨款收入3,205.38万元。</w:t>
      </w:r>
      <w:r>
        <w:rPr>
          <w:rFonts w:ascii="仿宋_GB2312" w:eastAsia="仿宋_GB2312"/>
          <w:b/>
          <w:bCs/>
          <w:sz w:val="32"/>
          <w:szCs w:val="32"/>
        </w:rPr>
        <w:t>财政拨款支出总计3,205.38万元，</w:t>
      </w:r>
      <w:r>
        <w:rPr>
          <w:rFonts w:ascii="仿宋_GB2312" w:eastAsia="仿宋_GB2312"/>
          <w:b w:val="0"/>
          <w:sz w:val="32"/>
          <w:szCs w:val="32"/>
        </w:rPr>
        <w:t>其中：年末财政拨款结转和结余0.00万元，本年财政拨款支出3,205.38万元。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减少420.00万元，下降11.58%，主要原因是：本年度减少艺术中心电费、设备购置费及中央补助地方公共文化服务体系建设补助资金。</w:t>
      </w:r>
      <w:r>
        <w:rPr>
          <w:rFonts w:ascii="仿宋_GB2312" w:eastAsia="仿宋_GB2312"/>
          <w:b/>
          <w:bCs/>
          <w:sz w:val="32"/>
          <w:szCs w:val="32"/>
        </w:rPr>
        <w:t>与年初预算相比，</w:t>
      </w:r>
      <w:r>
        <w:rPr>
          <w:rFonts w:ascii="仿宋_GB2312" w:eastAsia="仿宋_GB2312"/>
          <w:b w:val="0"/>
          <w:sz w:val="32"/>
          <w:szCs w:val="32"/>
        </w:rPr>
        <w:t>年初预算数2,687.51万元，决算数3,205.38万元，预决算差异率19.27%，主要原因是：</w:t>
      </w:r>
      <w:r>
        <w:rPr>
          <w:rFonts w:hint="eastAsia" w:ascii="仿宋_GB2312" w:eastAsia="仿宋_GB2312"/>
          <w:b w:val="0"/>
          <w:sz w:val="32"/>
          <w:szCs w:val="32"/>
          <w:lang w:val="en-US" w:eastAsia="zh-CN"/>
        </w:rPr>
        <w:t>一是</w:t>
      </w:r>
      <w:r>
        <w:rPr>
          <w:rFonts w:ascii="仿宋_GB2312" w:eastAsia="仿宋_GB2312"/>
          <w:b w:val="0"/>
          <w:sz w:val="32"/>
          <w:szCs w:val="32"/>
        </w:rPr>
        <w:t>本年人员经费工资福利费调整增资；</w:t>
      </w:r>
      <w:r>
        <w:rPr>
          <w:rFonts w:hint="eastAsia" w:ascii="仿宋_GB2312" w:eastAsia="仿宋_GB2312"/>
          <w:b w:val="0"/>
          <w:sz w:val="32"/>
          <w:szCs w:val="32"/>
          <w:lang w:val="en-US" w:eastAsia="zh-CN"/>
        </w:rPr>
        <w:t>二是</w:t>
      </w:r>
      <w:r>
        <w:rPr>
          <w:rFonts w:ascii="仿宋_GB2312" w:eastAsia="仿宋_GB2312"/>
          <w:b w:val="0"/>
          <w:sz w:val="32"/>
          <w:szCs w:val="32"/>
        </w:rPr>
        <w:t>本年追加2024年度自治区文艺扶持激励项目资金300.00万元、2024年自治区旅游发展专项资金预算131.00万元、2024年自治区彩票公益金支持文化和旅游志愿服务项目30.00万元；</w:t>
      </w:r>
      <w:r>
        <w:rPr>
          <w:rFonts w:hint="eastAsia" w:ascii="仿宋_GB2312" w:eastAsia="仿宋_GB2312"/>
          <w:b w:val="0"/>
          <w:sz w:val="32"/>
          <w:szCs w:val="32"/>
          <w:lang w:val="en-US" w:eastAsia="zh-CN"/>
        </w:rPr>
        <w:t>三是</w:t>
      </w:r>
      <w:r>
        <w:rPr>
          <w:rFonts w:ascii="仿宋_GB2312" w:eastAsia="仿宋_GB2312"/>
          <w:b w:val="0"/>
          <w:sz w:val="32"/>
          <w:szCs w:val="32"/>
        </w:rPr>
        <w:t>本年新增新疆人才发展基金2024年度第一轮支持资金—智力援疆创新拓展人才计划30.00万元。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2024年度一般公共预算财政拨款支出3,175.38万元，</w:t>
      </w:r>
      <w:r>
        <w:rPr>
          <w:rFonts w:ascii="仿宋_GB2312" w:eastAsia="仿宋_GB2312"/>
          <w:b w:val="0"/>
          <w:sz w:val="32"/>
          <w:szCs w:val="32"/>
        </w:rPr>
        <w:t>占本年支出合计的97.40%。</w:t>
      </w:r>
      <w:r>
        <w:rPr>
          <w:rFonts w:ascii="仿宋_GB2312" w:eastAsia="仿宋_GB2312"/>
          <w:b/>
          <w:bCs/>
          <w:sz w:val="32"/>
          <w:szCs w:val="32"/>
        </w:rPr>
        <w:t>与上年相比，</w:t>
      </w:r>
      <w:r>
        <w:rPr>
          <w:rFonts w:ascii="仿宋_GB2312" w:eastAsia="仿宋_GB2312"/>
          <w:b w:val="0"/>
          <w:sz w:val="32"/>
          <w:szCs w:val="32"/>
        </w:rPr>
        <w:t>减少430.00万元，下降11.93%，主要原因是：本年减少艺术中心电费、设备购置费及中央补助地方公共文化服务体系建设补助资金。</w:t>
      </w:r>
      <w:r>
        <w:rPr>
          <w:rFonts w:ascii="仿宋_GB2312" w:eastAsia="仿宋_GB2312"/>
          <w:b/>
          <w:bCs/>
          <w:sz w:val="32"/>
          <w:szCs w:val="32"/>
        </w:rPr>
        <w:t>与年初预算相比，</w:t>
      </w:r>
      <w:r>
        <w:rPr>
          <w:rFonts w:ascii="仿宋_GB2312" w:eastAsia="仿宋_GB2312"/>
          <w:b w:val="0"/>
          <w:sz w:val="32"/>
          <w:szCs w:val="32"/>
        </w:rPr>
        <w:t>年初预算数2,687.51万元，决算数3,175.38万元，预决算差异率18.15%，主要原因是：</w:t>
      </w:r>
      <w:r>
        <w:rPr>
          <w:rFonts w:hint="eastAsia" w:ascii="仿宋_GB2312" w:eastAsia="仿宋_GB2312"/>
          <w:b w:val="0"/>
          <w:sz w:val="32"/>
          <w:szCs w:val="32"/>
          <w:lang w:val="en-US" w:eastAsia="zh-CN"/>
        </w:rPr>
        <w:t>一是</w:t>
      </w:r>
      <w:r>
        <w:rPr>
          <w:rFonts w:ascii="仿宋_GB2312" w:eastAsia="仿宋_GB2312"/>
          <w:b w:val="0"/>
          <w:sz w:val="32"/>
          <w:szCs w:val="32"/>
        </w:rPr>
        <w:t>本年人员经费工资福利费调整增资；</w:t>
      </w:r>
      <w:r>
        <w:rPr>
          <w:rFonts w:hint="eastAsia" w:ascii="仿宋_GB2312" w:eastAsia="仿宋_GB2312"/>
          <w:b w:val="0"/>
          <w:sz w:val="32"/>
          <w:szCs w:val="32"/>
          <w:lang w:val="en-US" w:eastAsia="zh-CN"/>
        </w:rPr>
        <w:t>二是</w:t>
      </w:r>
      <w:r>
        <w:rPr>
          <w:rFonts w:ascii="仿宋_GB2312" w:eastAsia="仿宋_GB2312"/>
          <w:b w:val="0"/>
          <w:sz w:val="32"/>
          <w:szCs w:val="32"/>
        </w:rPr>
        <w:t>本年追加2024年度自治区文艺扶持激励项目资金300.00万元，追加2024年自治区旅游发展专项资金预算131.00万元；</w:t>
      </w:r>
      <w:r>
        <w:rPr>
          <w:rFonts w:hint="eastAsia" w:ascii="仿宋_GB2312" w:eastAsia="仿宋_GB2312"/>
          <w:b w:val="0"/>
          <w:sz w:val="32"/>
          <w:szCs w:val="32"/>
          <w:lang w:val="en-US" w:eastAsia="zh-CN"/>
        </w:rPr>
        <w:t>三是</w:t>
      </w:r>
      <w:r>
        <w:rPr>
          <w:rFonts w:ascii="仿宋_GB2312" w:eastAsia="仿宋_GB2312"/>
          <w:b w:val="0"/>
          <w:sz w:val="32"/>
          <w:szCs w:val="32"/>
        </w:rPr>
        <w:t>本年新增新疆人才发展基金2024年度第一轮支持资金—智力援疆创新拓展人才计划30.00万元。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文化旅游体育与传媒支出（类）3,175.38万元，占100.00%。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eastAsia="仿宋_GB2312"/>
          <w:sz w:val="32"/>
          <w:szCs w:val="32"/>
          <w:highlight w:val="yellow"/>
          <w:lang w:eastAsia="zh-CN"/>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文化旅游体育与传媒支出（类）文化和旅游（款）文化展示及纪念机构（项）：支出决算数为200.00万元，比上年决算增加</w:t>
      </w:r>
      <w:r>
        <w:rPr>
          <w:rFonts w:hint="eastAsia" w:ascii="仿宋_GB2312" w:eastAsia="仿宋_GB2312"/>
          <w:b w:val="0"/>
          <w:sz w:val="32"/>
          <w:szCs w:val="32"/>
          <w:lang w:val="en-US" w:eastAsia="zh-CN"/>
        </w:rPr>
        <w:t>0.00万元</w:t>
      </w:r>
      <w:r>
        <w:rPr>
          <w:rFonts w:ascii="仿宋_GB2312" w:eastAsia="仿宋_GB2312"/>
          <w:b w:val="0"/>
          <w:sz w:val="32"/>
          <w:szCs w:val="32"/>
        </w:rPr>
        <w:t>，</w:t>
      </w:r>
      <w:r>
        <w:rPr>
          <w:rFonts w:hint="eastAsia" w:ascii="仿宋_GB2312" w:hAnsi="仿宋_GB2312" w:eastAsia="仿宋_GB2312" w:cs="仿宋_GB2312"/>
          <w:kern w:val="0"/>
          <w:sz w:val="32"/>
          <w:szCs w:val="32"/>
          <w:highlight w:val="none"/>
        </w:rPr>
        <w:t>增长</w:t>
      </w:r>
      <w:r>
        <w:rPr>
          <w:rFonts w:hint="eastAsia" w:ascii="仿宋_GB2312" w:hAnsi="仿宋_GB2312" w:eastAsia="仿宋_GB2312" w:cs="仿宋_GB2312"/>
          <w:kern w:val="0"/>
          <w:sz w:val="32"/>
          <w:szCs w:val="32"/>
          <w:highlight w:val="none"/>
          <w:lang w:val="en-US" w:eastAsia="zh-CN"/>
        </w:rPr>
        <w:t>0.00</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2024年新疆美术馆馆藏品收购专项经费资金拨付与上年持平</w:t>
      </w:r>
      <w:r>
        <w:rPr>
          <w:rFonts w:ascii="仿宋_GB2312" w:eastAsia="仿宋_GB2312"/>
          <w:b w:val="0"/>
          <w:sz w:val="32"/>
          <w:szCs w:val="32"/>
          <w:highlight w:val="none"/>
        </w:rPr>
        <w:t>，无增减变化。</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文化旅游体育与传媒支出（类）文化和旅游（款）群众文化（项）：支出决算数为2,374.38万元，比上年决算减少60.64万元，下降2.49%，主要原因是：本年减少艺术中心电费及设备购置费。</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文化旅游体育与传媒支出（类）文化和旅游（款）文化创作与保护（项）：支出决算数为300.00万元，比上年决算减少100.36万元，下降25.07%，主要原因是：2024年度自治区文艺扶持激励项目资金较上年减少100.36万元。</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文化旅游体育与传媒支出（类）文化和旅游（款）旅游宣传（项）：支出决算数为131.00万元，比上年决算增加131.00万元，增长0.00%，主要原因是：本年追加2024年自治区旅游发展专项资金预算资金131.00万元。</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b w:val="0"/>
          <w:sz w:val="32"/>
          <w:szCs w:val="32"/>
          <w:highlight w:val="none"/>
        </w:rPr>
      </w:pPr>
      <w:r>
        <w:rPr>
          <w:rFonts w:hint="eastAsia" w:ascii="仿宋_GB2312" w:eastAsia="仿宋_GB2312"/>
          <w:b w:val="0"/>
          <w:sz w:val="32"/>
          <w:szCs w:val="32"/>
          <w:lang w:val="en-US" w:eastAsia="zh-CN"/>
        </w:rPr>
        <w:t>5.</w:t>
      </w:r>
      <w:r>
        <w:rPr>
          <w:rFonts w:ascii="仿宋_GB2312" w:eastAsia="仿宋_GB2312"/>
          <w:b w:val="0"/>
          <w:sz w:val="32"/>
          <w:szCs w:val="32"/>
        </w:rPr>
        <w:t>文化旅游体育与传媒支出（类）文化和旅游（款）其他文化和旅游支出（项）：支出决算数为70.00万元，与上年相比无变化，主要原因是：</w:t>
      </w:r>
      <w:r>
        <w:rPr>
          <w:rFonts w:hint="eastAsia" w:ascii="仿宋_GB2312" w:eastAsia="仿宋_GB2312"/>
          <w:b w:val="0"/>
          <w:bCs w:val="0"/>
          <w:sz w:val="32"/>
          <w:szCs w:val="32"/>
          <w:lang w:val="en-US" w:eastAsia="zh-CN"/>
        </w:rPr>
        <w:t>一是</w:t>
      </w:r>
      <w:r>
        <w:rPr>
          <w:rFonts w:hint="eastAsia" w:ascii="仿宋_GB2312" w:eastAsia="仿宋_GB2312"/>
          <w:b w:val="0"/>
          <w:sz w:val="32"/>
          <w:szCs w:val="32"/>
          <w:lang w:val="en-US" w:eastAsia="zh-CN"/>
        </w:rPr>
        <w:t>2024年文化人才专项经费较上年增加；二是新增新疆人才发展基金2024年度第一轮支持资金—智力援疆创新拓展人才计划项目；三是</w:t>
      </w:r>
      <w:r>
        <w:rPr>
          <w:rFonts w:ascii="仿宋_GB2312" w:eastAsia="仿宋_GB2312"/>
          <w:sz w:val="32"/>
          <w:szCs w:val="32"/>
        </w:rPr>
        <w:t>本年自治区旅游发展专项（第三批）</w:t>
      </w:r>
      <w:r>
        <w:rPr>
          <w:rFonts w:hint="eastAsia" w:ascii="仿宋_GB2312" w:eastAsia="仿宋_GB2312"/>
          <w:sz w:val="32"/>
          <w:szCs w:val="32"/>
          <w:lang w:val="en-US" w:eastAsia="zh-CN"/>
        </w:rPr>
        <w:t>在</w:t>
      </w:r>
      <w:r>
        <w:rPr>
          <w:rFonts w:ascii="仿宋_GB2312" w:eastAsia="仿宋_GB2312"/>
          <w:sz w:val="32"/>
          <w:szCs w:val="32"/>
        </w:rPr>
        <w:t>旅游宣传</w:t>
      </w:r>
      <w:r>
        <w:rPr>
          <w:rFonts w:hint="eastAsia" w:ascii="仿宋_GB2312" w:eastAsia="仿宋_GB2312"/>
          <w:sz w:val="32"/>
          <w:szCs w:val="32"/>
          <w:lang w:val="en-US" w:eastAsia="zh-CN"/>
        </w:rPr>
        <w:t>科目</w:t>
      </w:r>
      <w:r>
        <w:rPr>
          <w:rFonts w:ascii="仿宋_GB2312" w:eastAsia="仿宋_GB2312"/>
          <w:sz w:val="32"/>
          <w:szCs w:val="32"/>
        </w:rPr>
        <w:t>支出，上年自治区旅游发展专项在其他文化和旅游支出（2070199）科目中</w:t>
      </w:r>
      <w:r>
        <w:rPr>
          <w:rFonts w:ascii="仿宋_GB2312" w:eastAsia="仿宋_GB2312"/>
          <w:b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文化旅游体育与传媒支出（类）其他文化旅游体育与传媒支出（款）其他文化旅游体育与传媒支出（项）：支出决算数为100.00万元，比上年决算减少400.00万元，下降80.00%，主要原因是：中央补助地方公共文化服务体系建设补助资金较上年减少400.00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2024年度一般公共预算财政拨款基本支出2,024.38万元，其中：</w:t>
      </w:r>
      <w:r>
        <w:rPr>
          <w:rFonts w:ascii="仿宋_GB2312" w:eastAsia="仿宋_GB2312"/>
          <w:b/>
          <w:bCs/>
          <w:sz w:val="32"/>
          <w:szCs w:val="32"/>
        </w:rPr>
        <w:t>人员经费342.44万元，</w:t>
      </w:r>
      <w:r>
        <w:rPr>
          <w:rFonts w:ascii="仿宋_GB2312" w:eastAsia="仿宋_GB2312"/>
          <w:b w:val="0"/>
          <w:sz w:val="32"/>
          <w:szCs w:val="32"/>
        </w:rPr>
        <w:t>包括：基本工资、津贴补贴、奖金、绩效工资、机关事业单位基本养老保险缴费、职工基本医疗保险缴费、公务员医疗补助缴费、其他社会保障缴费、住房公积金、其他工资福利支出、退休费和奖励金。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公用经费1,681.94万元，</w:t>
      </w:r>
      <w:r>
        <w:rPr>
          <w:rFonts w:ascii="仿宋_GB2312" w:eastAsia="仿宋_GB2312"/>
          <w:b w:val="0"/>
          <w:sz w:val="32"/>
          <w:szCs w:val="32"/>
        </w:rPr>
        <w:t>包括：办公费、手续费、水费、邮电费、取暖费、物业管理费、差旅费、维修（护）费、委托业务费、工会经费、福利费、公务用车运行维护费、其他交通费用、税金及附加费用、其他商品和服务支出和其他资本性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2024年度政府性基金预算财政拨款收入总计30.00万元，</w:t>
      </w:r>
      <w:r>
        <w:rPr>
          <w:rFonts w:ascii="仿宋_GB2312" w:eastAsia="仿宋_GB2312"/>
          <w:b w:val="0"/>
          <w:sz w:val="32"/>
          <w:szCs w:val="32"/>
        </w:rPr>
        <w:t>其中：年初结转和结余0.00万元，本年收入30.00万元。</w:t>
      </w:r>
      <w:r>
        <w:rPr>
          <w:rFonts w:ascii="仿宋_GB2312" w:eastAsia="仿宋_GB2312"/>
          <w:b/>
          <w:bCs/>
          <w:sz w:val="32"/>
          <w:szCs w:val="32"/>
        </w:rPr>
        <w:t>政府性基金预算财政拨款支出总计30.00万元，</w:t>
      </w:r>
      <w:r>
        <w:rPr>
          <w:rFonts w:ascii="仿宋_GB2312" w:eastAsia="仿宋_GB2312"/>
          <w:b w:val="0"/>
          <w:sz w:val="32"/>
          <w:szCs w:val="32"/>
        </w:rPr>
        <w:t>其中：年末结转和结余0.00万元，本年支出30.00万元。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政府性基金预算财政拨款收入支出总体与上年相比，</w:t>
      </w:r>
      <w:r>
        <w:rPr>
          <w:rFonts w:ascii="仿宋_GB2312" w:eastAsia="仿宋_GB2312"/>
          <w:b w:val="0"/>
          <w:sz w:val="32"/>
          <w:szCs w:val="32"/>
        </w:rPr>
        <w:t>增加10.00万元，增长50.00%，主要原因是：本年增加用于文化事业的彩票公益金支出10.00万元。</w:t>
      </w:r>
      <w:r>
        <w:rPr>
          <w:rFonts w:ascii="仿宋_GB2312" w:eastAsia="仿宋_GB2312"/>
          <w:b/>
          <w:bCs/>
          <w:sz w:val="32"/>
          <w:szCs w:val="32"/>
        </w:rPr>
        <w:t>与年初预算相比，</w:t>
      </w:r>
      <w:r>
        <w:rPr>
          <w:rFonts w:ascii="仿宋_GB2312" w:eastAsia="仿宋_GB2312"/>
          <w:b w:val="0"/>
          <w:sz w:val="32"/>
          <w:szCs w:val="32"/>
        </w:rPr>
        <w:t>年初预算数0.00万元，决算数30.00万元，预决算差异率100%，主要原因是：本年追加用于文化事业的彩票公益金支出30.00万元。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bCs/>
          <w:sz w:val="32"/>
          <w:szCs w:val="32"/>
        </w:rPr>
      </w:pPr>
      <w:r>
        <w:rPr>
          <w:rFonts w:ascii="仿宋_GB2312" w:eastAsia="仿宋_GB2312"/>
          <w:b/>
          <w:bCs/>
          <w:sz w:val="32"/>
          <w:szCs w:val="32"/>
        </w:rPr>
        <w:t>政府性基金预算财政拨款支出30.00万元。</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其他支出（类）彩票公益金安排的支出（款）用于文化事业的彩票公益金支出（项）：支出决算数为30.00万元，比上年决算增加10.00万元，增长50.00%，主要原因是：本年增加用于文化事业的彩票公益金支出10.00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w:t>
      </w:r>
      <w:r>
        <w:rPr>
          <w:rFonts w:hint="eastAsia" w:ascii="仿宋_GB2312" w:eastAsia="仿宋_GB2312"/>
          <w:b/>
          <w:bCs/>
          <w:sz w:val="32"/>
          <w:szCs w:val="32"/>
          <w:lang w:eastAsia="zh-CN"/>
        </w:rPr>
        <w:t>“</w:t>
      </w:r>
      <w:r>
        <w:rPr>
          <w:rFonts w:ascii="仿宋_GB2312" w:eastAsia="仿宋_GB2312"/>
          <w:b/>
          <w:bCs/>
          <w:sz w:val="32"/>
          <w:szCs w:val="32"/>
        </w:rPr>
        <w:t>三公</w:t>
      </w:r>
      <w:r>
        <w:rPr>
          <w:rFonts w:hint="eastAsia" w:ascii="仿宋_GB2312" w:eastAsia="仿宋_GB2312"/>
          <w:b/>
          <w:bCs/>
          <w:sz w:val="32"/>
          <w:szCs w:val="32"/>
          <w:lang w:eastAsia="zh-CN"/>
        </w:rPr>
        <w:t>”</w:t>
      </w:r>
      <w:r>
        <w:rPr>
          <w:rFonts w:ascii="仿宋_GB2312" w:eastAsia="仿宋_GB2312"/>
          <w:b/>
          <w:bCs/>
          <w:sz w:val="32"/>
          <w:szCs w:val="32"/>
        </w:rPr>
        <w:t>经费支出1.35万元，</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ascii="仿宋_GB2312" w:eastAsia="仿宋_GB2312"/>
          <w:b w:val="0"/>
          <w:sz w:val="32"/>
          <w:szCs w:val="32"/>
        </w:rPr>
        <w:t>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经费预算，与上年支出</w:t>
      </w:r>
      <w:r>
        <w:rPr>
          <w:rFonts w:hint="eastAsia" w:ascii="仿宋_GB2312" w:eastAsia="仿宋_GB2312"/>
          <w:b w:val="0"/>
          <w:sz w:val="32"/>
          <w:szCs w:val="32"/>
          <w:lang w:val="en-US" w:eastAsia="zh-CN"/>
        </w:rPr>
        <w:t>一致</w:t>
      </w:r>
      <w:r>
        <w:rPr>
          <w:rFonts w:ascii="仿宋_GB2312" w:eastAsia="仿宋_GB2312"/>
          <w:b w:val="0"/>
          <w:sz w:val="32"/>
          <w:szCs w:val="32"/>
        </w:rPr>
        <w:t>。其中：因公出国（境）费支出0.00万元,占0.00%，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主要原因是：2023年与2024年均未安排因公出国（境）费支出；公务用车购置及运行维护费支出1.35万元，占100.00%，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经费预算，与上年支出</w:t>
      </w:r>
      <w:r>
        <w:rPr>
          <w:rFonts w:hint="eastAsia" w:ascii="仿宋_GB2312" w:eastAsia="仿宋_GB2312"/>
          <w:b w:val="0"/>
          <w:sz w:val="32"/>
          <w:szCs w:val="32"/>
          <w:lang w:val="en-US" w:eastAsia="zh-CN"/>
        </w:rPr>
        <w:t>一致</w:t>
      </w:r>
      <w:r>
        <w:rPr>
          <w:rFonts w:ascii="仿宋_GB2312" w:eastAsia="仿宋_GB2312"/>
          <w:b w:val="0"/>
          <w:sz w:val="32"/>
          <w:szCs w:val="32"/>
        </w:rPr>
        <w:t>；公务接待费支出0.00万元，占0.00%，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主要原因是：2023年与2024年均未安排公务接待费。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bCs/>
          <w:sz w:val="32"/>
          <w:szCs w:val="32"/>
        </w:rPr>
      </w:pPr>
      <w:r>
        <w:rPr>
          <w:rFonts w:ascii="仿宋_GB2312" w:eastAsia="仿宋_GB2312"/>
          <w:b/>
          <w:bCs/>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w:t>
      </w:r>
      <w:r>
        <w:rPr>
          <w:rFonts w:ascii="仿宋_GB2312" w:eastAsia="仿宋_GB2312"/>
          <w:b w:val="0"/>
          <w:sz w:val="32"/>
          <w:szCs w:val="32"/>
        </w:rPr>
        <w:t>本单位年初预算未安排因公出国（境）费支出</w:t>
      </w:r>
      <w:r>
        <w:rPr>
          <w:rFonts w:hint="eastAsia" w:ascii="仿宋_GB2312" w:eastAsia="仿宋_GB2312"/>
          <w:sz w:val="32"/>
          <w:szCs w:val="32"/>
          <w:highlight w:val="none"/>
        </w:rPr>
        <w:t>。</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公务用车购置及运行维护费1.35万元，其中：公务用车购置费0.00万元，公务用车运行维护费1.35万元。公务用车运行维护费开支内容包括</w:t>
      </w:r>
      <w:r>
        <w:rPr>
          <w:rFonts w:hint="eastAsia" w:ascii="仿宋_GB2312" w:eastAsia="仿宋_GB2312"/>
          <w:b w:val="0"/>
          <w:sz w:val="32"/>
          <w:szCs w:val="32"/>
          <w:lang w:eastAsia="zh-CN"/>
        </w:rPr>
        <w:t>：</w:t>
      </w:r>
      <w:r>
        <w:rPr>
          <w:rFonts w:ascii="仿宋_GB2312" w:eastAsia="仿宋_GB2312"/>
          <w:b w:val="0"/>
          <w:sz w:val="32"/>
          <w:szCs w:val="32"/>
        </w:rPr>
        <w:t>公务用车油料费</w:t>
      </w:r>
      <w:r>
        <w:rPr>
          <w:rFonts w:hint="eastAsia" w:ascii="仿宋_GB2312" w:eastAsia="仿宋_GB2312"/>
          <w:b w:val="0"/>
          <w:sz w:val="32"/>
          <w:szCs w:val="32"/>
          <w:lang w:eastAsia="zh-CN"/>
        </w:rPr>
        <w:t>、</w:t>
      </w:r>
      <w:r>
        <w:rPr>
          <w:rFonts w:ascii="仿宋_GB2312" w:eastAsia="仿宋_GB2312"/>
          <w:b w:val="0"/>
          <w:sz w:val="32"/>
          <w:szCs w:val="32"/>
        </w:rPr>
        <w:t>公务用车保险费</w:t>
      </w:r>
      <w:r>
        <w:rPr>
          <w:rFonts w:hint="eastAsia" w:ascii="仿宋_GB2312" w:eastAsia="仿宋_GB2312"/>
          <w:b w:val="0"/>
          <w:sz w:val="32"/>
          <w:szCs w:val="32"/>
          <w:lang w:eastAsia="zh-CN"/>
        </w:rPr>
        <w:t>、</w:t>
      </w:r>
      <w:r>
        <w:rPr>
          <w:rFonts w:ascii="仿宋_GB2312" w:eastAsia="仿宋_GB2312"/>
          <w:b w:val="0"/>
          <w:sz w:val="32"/>
          <w:szCs w:val="32"/>
        </w:rPr>
        <w:t>公务用车维修费</w:t>
      </w:r>
      <w:r>
        <w:rPr>
          <w:rFonts w:hint="eastAsia" w:ascii="仿宋_GB2312" w:eastAsia="仿宋_GB2312"/>
          <w:b w:val="0"/>
          <w:sz w:val="32"/>
          <w:szCs w:val="32"/>
          <w:lang w:eastAsia="zh-CN"/>
        </w:rPr>
        <w:t>、</w:t>
      </w:r>
      <w:r>
        <w:rPr>
          <w:rFonts w:ascii="仿宋_GB2312" w:eastAsia="仿宋_GB2312"/>
          <w:b w:val="0"/>
          <w:sz w:val="32"/>
          <w:szCs w:val="32"/>
        </w:rPr>
        <w:t>公务用车年审费。公务用车购置数0辆，公务用车保有量1辆。国有资产占用情况中固定资产车辆1辆，与公务用车保有量差异原因是：我单位公务用车数量未变动，固定资产车辆数与公务用车保有量无差异。</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2024年未安排</w:t>
      </w:r>
      <w:r>
        <w:rPr>
          <w:rFonts w:ascii="仿宋_GB2312" w:eastAsia="仿宋_GB2312"/>
          <w:b w:val="0"/>
          <w:sz w:val="32"/>
          <w:szCs w:val="32"/>
        </w:rPr>
        <w:t>公务接待费</w:t>
      </w:r>
      <w:r>
        <w:rPr>
          <w:rFonts w:hint="eastAsia" w:ascii="仿宋_GB2312" w:eastAsia="仿宋_GB2312"/>
          <w:b w:val="0"/>
          <w:sz w:val="32"/>
          <w:szCs w:val="32"/>
          <w:lang w:val="en-US" w:eastAsia="zh-CN"/>
        </w:rPr>
        <w:t>支出</w:t>
      </w:r>
      <w:r>
        <w:rPr>
          <w:rFonts w:ascii="仿宋_GB2312" w:eastAsia="仿宋_GB2312"/>
          <w:b w:val="0"/>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经费支出全年预算数1.35万元，决算数1.35万元，预决算差异率0.00%，主要原因是：严格执行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b w:val="0"/>
          <w:sz w:val="32"/>
          <w:szCs w:val="32"/>
        </w:rPr>
        <w:t>。其中：因公出国（境）费全年预算数0.00万元，决算数0.00万元，预决算差异率0.00%，主要原因是：2024年未安排因公出国（境）费</w:t>
      </w:r>
      <w:r>
        <w:rPr>
          <w:rFonts w:hint="eastAsia" w:ascii="仿宋_GB2312" w:eastAsia="仿宋_GB2312"/>
          <w:b w:val="0"/>
          <w:sz w:val="32"/>
          <w:szCs w:val="32"/>
          <w:lang w:eastAsia="zh-CN"/>
        </w:rPr>
        <w:t>支出；</w:t>
      </w:r>
      <w:r>
        <w:rPr>
          <w:rFonts w:ascii="仿宋_GB2312" w:eastAsia="仿宋_GB2312"/>
          <w:b w:val="0"/>
          <w:sz w:val="32"/>
          <w:szCs w:val="32"/>
        </w:rPr>
        <w:t>公务用车购置费全年预算数0.00万元，决算数0.00万元，预决算差异率0.00%，主要原因是：2024年未安排公务用车购置费</w:t>
      </w:r>
      <w:r>
        <w:rPr>
          <w:rFonts w:hint="eastAsia" w:ascii="仿宋_GB2312" w:eastAsia="仿宋_GB2312"/>
          <w:b w:val="0"/>
          <w:sz w:val="32"/>
          <w:szCs w:val="32"/>
          <w:lang w:eastAsia="zh-CN"/>
        </w:rPr>
        <w:t>支出；</w:t>
      </w:r>
      <w:r>
        <w:rPr>
          <w:rFonts w:ascii="仿宋_GB2312" w:eastAsia="仿宋_GB2312"/>
          <w:b w:val="0"/>
          <w:sz w:val="32"/>
          <w:szCs w:val="32"/>
        </w:rPr>
        <w:t>公务用车运行</w:t>
      </w:r>
      <w:r>
        <w:rPr>
          <w:rFonts w:hint="eastAsia" w:ascii="仿宋_GB2312" w:eastAsia="仿宋_GB2312"/>
          <w:b w:val="0"/>
          <w:sz w:val="32"/>
          <w:szCs w:val="32"/>
          <w:lang w:val="en-US" w:eastAsia="zh-CN"/>
        </w:rPr>
        <w:t>维护</w:t>
      </w:r>
      <w:r>
        <w:rPr>
          <w:rFonts w:ascii="仿宋_GB2312" w:eastAsia="仿宋_GB2312"/>
          <w:b w:val="0"/>
          <w:sz w:val="32"/>
          <w:szCs w:val="32"/>
        </w:rPr>
        <w:t>费全年预算数1.35万元，决算数1.35万元，预决算差异率0.00%，主要原因是：严格执行公务用车运行</w:t>
      </w:r>
      <w:r>
        <w:rPr>
          <w:rFonts w:hint="eastAsia" w:ascii="仿宋_GB2312" w:eastAsia="仿宋_GB2312"/>
          <w:b w:val="0"/>
          <w:sz w:val="32"/>
          <w:szCs w:val="32"/>
          <w:lang w:val="en-US" w:eastAsia="zh-CN"/>
        </w:rPr>
        <w:t>维护</w:t>
      </w:r>
      <w:r>
        <w:rPr>
          <w:rFonts w:ascii="仿宋_GB2312" w:eastAsia="仿宋_GB2312"/>
          <w:b w:val="0"/>
          <w:sz w:val="32"/>
          <w:szCs w:val="32"/>
        </w:rPr>
        <w:t>费预算，与本年支出</w:t>
      </w:r>
      <w:r>
        <w:rPr>
          <w:rFonts w:hint="eastAsia" w:ascii="仿宋_GB2312" w:eastAsia="仿宋_GB2312"/>
          <w:b w:val="0"/>
          <w:sz w:val="32"/>
          <w:szCs w:val="32"/>
          <w:lang w:val="en-US" w:eastAsia="zh-CN"/>
        </w:rPr>
        <w:t>一致；</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bCs w:val="0"/>
          <w:sz w:val="32"/>
          <w:szCs w:val="32"/>
          <w:highlight w:val="none"/>
          <w:lang w:eastAsia="zh-CN"/>
        </w:rPr>
        <w:t>2024年未安排公务接待费支出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val="en-US" w:eastAsia="zh-CN"/>
        </w:rPr>
        <w:t>新疆美术馆</w:t>
      </w:r>
      <w:r>
        <w:rPr>
          <w:rFonts w:ascii="仿宋_GB2312" w:eastAsia="仿宋_GB2312"/>
          <w:b w:val="0"/>
          <w:sz w:val="32"/>
          <w:szCs w:val="32"/>
        </w:rPr>
        <w:t>公用经费支出1,681.94万元，比上年减少99.45万元，下降5.58%，主要原因是：本年度减少艺术中心电费、办公设备及专用设备支出。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2024年度政府采购支出总额2,091.57万元，其中：政府采购货物支出113.52万元、政府采购工程支出364.89万元、政府采购服务支出1,613.15万元。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授予中小企业合同金额2,091.57万元，占政府采购支出总额的100.00%，其中：授予小微企业合同金额1,877.05万元，占政府采购支出总额的89.74%。</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1辆，价值26.68万元，其中：副部（省）级及以上领导用车0辆、主要负责人用车0辆、机要通信用车0辆、应急保障用车0辆、执法执勤用车0辆、特种专业技术用车0辆、离退休干部服务用车0辆、其他用车1辆，其他用车主要是：一般公务用车</w:t>
      </w:r>
      <w:r>
        <w:rPr>
          <w:rFonts w:hint="eastAsia" w:ascii="仿宋_GB2312" w:eastAsia="仿宋_GB2312"/>
          <w:b w:val="0"/>
          <w:sz w:val="32"/>
          <w:szCs w:val="32"/>
          <w:lang w:eastAsia="zh-CN"/>
        </w:rPr>
        <w:t>。</w:t>
      </w:r>
      <w:r>
        <w:rPr>
          <w:rFonts w:ascii="仿宋_GB2312" w:eastAsia="仿宋_GB2312"/>
          <w:b w:val="0"/>
          <w:sz w:val="32"/>
          <w:szCs w:val="32"/>
        </w:rPr>
        <w:t>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根据预算绩效管理要求，本单位2024年度预算绩效评价项目3个，全年预算数560.00万元，全年执行数560.00万元</w:t>
      </w:r>
      <w:r>
        <w:rPr>
          <w:rFonts w:hint="eastAsia" w:ascii="仿宋_GB2312" w:eastAsia="仿宋_GB2312"/>
          <w:b w:val="0"/>
          <w:sz w:val="32"/>
          <w:szCs w:val="32"/>
          <w:lang w:eastAsia="zh-CN"/>
        </w:rPr>
        <w:t>。</w:t>
      </w:r>
      <w:r>
        <w:rPr>
          <w:rFonts w:ascii="仿宋_GB2312" w:eastAsia="仿宋_GB2312"/>
          <w:b w:val="0"/>
          <w:sz w:val="32"/>
          <w:szCs w:val="32"/>
        </w:rPr>
        <w:t>预算绩效管理取得的成效：一是</w:t>
      </w:r>
      <w:r>
        <w:rPr>
          <w:rFonts w:hint="eastAsia" w:ascii="仿宋_GB2312" w:eastAsia="仿宋_GB2312"/>
          <w:b w:val="0"/>
          <w:sz w:val="32"/>
          <w:szCs w:val="32"/>
          <w:lang w:val="en-US" w:eastAsia="zh-CN"/>
        </w:rPr>
        <w:t>本单位项目全部纳入预算绩效管理，项目严格按照项目方案执行，项目及资金</w:t>
      </w:r>
      <w:r>
        <w:rPr>
          <w:rFonts w:ascii="仿宋_GB2312" w:eastAsia="仿宋_GB2312"/>
          <w:b w:val="0"/>
          <w:sz w:val="32"/>
          <w:szCs w:val="32"/>
        </w:rPr>
        <w:t>通过有效的规划、组织与协调得以顺利实施，实现了预期的社会效益并产生了积极的影响，提升并丰富了人民群众精神文化生活</w:t>
      </w:r>
      <w:r>
        <w:rPr>
          <w:rFonts w:hint="eastAsia" w:ascii="仿宋_GB2312" w:eastAsia="仿宋_GB2312"/>
          <w:b w:val="0"/>
          <w:sz w:val="32"/>
          <w:szCs w:val="32"/>
          <w:lang w:eastAsia="zh-CN"/>
        </w:rPr>
        <w:t>，</w:t>
      </w:r>
      <w:r>
        <w:rPr>
          <w:rFonts w:ascii="仿宋_GB2312" w:eastAsia="仿宋_GB2312"/>
          <w:b w:val="0"/>
          <w:sz w:val="32"/>
          <w:szCs w:val="32"/>
        </w:rPr>
        <w:t>在专家评审和群众参观</w:t>
      </w:r>
      <w:r>
        <w:rPr>
          <w:rFonts w:hint="eastAsia" w:ascii="仿宋_GB2312" w:eastAsia="仿宋_GB2312"/>
          <w:b w:val="0"/>
          <w:sz w:val="32"/>
          <w:szCs w:val="32"/>
          <w:lang w:val="en-US" w:eastAsia="zh-CN"/>
        </w:rPr>
        <w:t>方面</w:t>
      </w:r>
      <w:r>
        <w:rPr>
          <w:rFonts w:ascii="仿宋_GB2312" w:eastAsia="仿宋_GB2312"/>
          <w:b w:val="0"/>
          <w:sz w:val="32"/>
          <w:szCs w:val="32"/>
        </w:rPr>
        <w:t>取得了显著的成效</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如</w:t>
      </w:r>
      <w:r>
        <w:rPr>
          <w:rFonts w:ascii="仿宋_GB2312" w:eastAsia="仿宋_GB2312"/>
          <w:b w:val="0"/>
          <w:sz w:val="32"/>
          <w:szCs w:val="32"/>
        </w:rPr>
        <w:t>展览活动公共教育活动</w:t>
      </w:r>
      <w:r>
        <w:rPr>
          <w:rFonts w:hint="eastAsia" w:ascii="仿宋_GB2312" w:eastAsia="仿宋_GB2312"/>
          <w:b w:val="0"/>
          <w:sz w:val="32"/>
          <w:szCs w:val="32"/>
          <w:lang w:val="en-US" w:eastAsia="zh-CN"/>
        </w:rPr>
        <w:t>及</w:t>
      </w:r>
      <w:r>
        <w:rPr>
          <w:rFonts w:ascii="仿宋_GB2312" w:eastAsia="仿宋_GB2312"/>
          <w:b w:val="0"/>
          <w:sz w:val="32"/>
          <w:szCs w:val="32"/>
        </w:rPr>
        <w:t>藏品收购</w:t>
      </w:r>
      <w:r>
        <w:rPr>
          <w:rFonts w:hint="eastAsia" w:ascii="仿宋_GB2312" w:eastAsia="仿宋_GB2312"/>
          <w:b w:val="0"/>
          <w:sz w:val="32"/>
          <w:szCs w:val="32"/>
          <w:lang w:val="en-US" w:eastAsia="zh-CN"/>
        </w:rPr>
        <w:t>等</w:t>
      </w:r>
      <w:r>
        <w:rPr>
          <w:rFonts w:ascii="仿宋_GB2312" w:eastAsia="仿宋_GB2312"/>
          <w:b w:val="0"/>
          <w:sz w:val="32"/>
          <w:szCs w:val="32"/>
        </w:rPr>
        <w:t>在数量指标、时效指标等方面表现出色，达到了预期的标准与要求</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二</w:t>
      </w:r>
      <w:r>
        <w:rPr>
          <w:rFonts w:ascii="仿宋_GB2312" w:eastAsia="仿宋_GB2312"/>
          <w:b w:val="0"/>
          <w:sz w:val="32"/>
          <w:szCs w:val="32"/>
        </w:rPr>
        <w:t>是</w:t>
      </w:r>
      <w:r>
        <w:rPr>
          <w:rFonts w:hint="eastAsia" w:ascii="仿宋_GB2312" w:eastAsia="仿宋_GB2312"/>
          <w:b w:val="0"/>
          <w:sz w:val="32"/>
          <w:szCs w:val="32"/>
          <w:lang w:val="en-US" w:eastAsia="zh-CN"/>
        </w:rPr>
        <w:t>本年新增</w:t>
      </w:r>
      <w:r>
        <w:rPr>
          <w:rFonts w:ascii="仿宋_GB2312" w:eastAsia="仿宋_GB2312"/>
          <w:b w:val="0"/>
          <w:sz w:val="32"/>
          <w:szCs w:val="32"/>
        </w:rPr>
        <w:t>新疆美术馆文创开发、设计、制作项目</w:t>
      </w:r>
      <w:r>
        <w:rPr>
          <w:rFonts w:hint="eastAsia" w:ascii="仿宋_GB2312" w:eastAsia="仿宋_GB2312"/>
          <w:b w:val="0"/>
          <w:sz w:val="32"/>
          <w:szCs w:val="32"/>
          <w:lang w:eastAsia="zh-CN"/>
        </w:rPr>
        <w:t>，</w:t>
      </w:r>
      <w:r>
        <w:rPr>
          <w:rFonts w:ascii="仿宋_GB2312" w:eastAsia="仿宋_GB2312"/>
          <w:b w:val="0"/>
          <w:sz w:val="32"/>
          <w:szCs w:val="32"/>
        </w:rPr>
        <w:t>在开发文创产品、宣传推广中华优秀</w:t>
      </w:r>
      <w:r>
        <w:rPr>
          <w:rFonts w:hint="eastAsia" w:ascii="仿宋_GB2312" w:eastAsia="仿宋_GB2312"/>
          <w:b w:val="0"/>
          <w:sz w:val="32"/>
          <w:szCs w:val="32"/>
          <w:lang w:val="en-US" w:eastAsia="zh-CN"/>
        </w:rPr>
        <w:t>传统</w:t>
      </w:r>
      <w:r>
        <w:rPr>
          <w:rFonts w:ascii="仿宋_GB2312" w:eastAsia="仿宋_GB2312"/>
          <w:b w:val="0"/>
          <w:sz w:val="32"/>
          <w:szCs w:val="32"/>
        </w:rPr>
        <w:t>文化等方面表现出色。如开发文创产品有坐垫、杯垫、留言板等通过这些文创商品的开发、设计和销售，新疆美术馆不仅为公众提供了欣赏和收藏艺术品的新途径，而且有效地宣传和推广了中华优秀</w:t>
      </w:r>
      <w:r>
        <w:rPr>
          <w:rFonts w:hint="eastAsia" w:ascii="仿宋_GB2312" w:eastAsia="仿宋_GB2312"/>
          <w:b w:val="0"/>
          <w:sz w:val="32"/>
          <w:szCs w:val="32"/>
          <w:lang w:val="en-US" w:eastAsia="zh-CN"/>
        </w:rPr>
        <w:t>传统</w:t>
      </w:r>
      <w:r>
        <w:rPr>
          <w:rFonts w:ascii="仿宋_GB2312" w:eastAsia="仿宋_GB2312"/>
          <w:b w:val="0"/>
          <w:sz w:val="32"/>
          <w:szCs w:val="32"/>
        </w:rPr>
        <w:t>文化，增强了民族文化自信。文创产品成为连接艺术与生活、传统与现代的桥梁，让更多人能够近距离感受和体验中华艺术的魅力</w:t>
      </w:r>
      <w:r>
        <w:rPr>
          <w:rFonts w:hint="eastAsia" w:ascii="仿宋_GB2312" w:eastAsia="仿宋_GB2312"/>
          <w:b w:val="0"/>
          <w:sz w:val="32"/>
          <w:szCs w:val="32"/>
          <w:lang w:eastAsia="zh-CN"/>
        </w:rPr>
        <w:t>。</w:t>
      </w:r>
      <w:r>
        <w:rPr>
          <w:rFonts w:ascii="仿宋_GB2312" w:eastAsia="仿宋_GB2312"/>
          <w:b w:val="0"/>
          <w:sz w:val="32"/>
          <w:szCs w:val="32"/>
        </w:rPr>
        <w:t>发现的问题及原因：一是在绩效自评过程中，绩效</w:t>
      </w:r>
      <w:r>
        <w:rPr>
          <w:rFonts w:hint="eastAsia" w:ascii="仿宋_GB2312" w:eastAsia="仿宋_GB2312"/>
          <w:b w:val="0"/>
          <w:sz w:val="32"/>
          <w:szCs w:val="32"/>
          <w:lang w:val="en-US" w:eastAsia="zh-CN"/>
        </w:rPr>
        <w:t>评价</w:t>
      </w:r>
      <w:r>
        <w:rPr>
          <w:rFonts w:ascii="仿宋_GB2312" w:eastAsia="仿宋_GB2312"/>
          <w:b w:val="0"/>
          <w:sz w:val="32"/>
          <w:szCs w:val="32"/>
        </w:rPr>
        <w:t>的能力</w:t>
      </w:r>
      <w:r>
        <w:rPr>
          <w:rFonts w:hint="eastAsia" w:ascii="仿宋_GB2312" w:eastAsia="仿宋_GB2312"/>
          <w:b w:val="0"/>
          <w:sz w:val="32"/>
          <w:szCs w:val="32"/>
          <w:lang w:val="en-US" w:eastAsia="zh-CN"/>
        </w:rPr>
        <w:t>有待提升，</w:t>
      </w:r>
      <w:r>
        <w:rPr>
          <w:rFonts w:ascii="仿宋_GB2312" w:eastAsia="仿宋_GB2312"/>
          <w:b w:val="0"/>
          <w:sz w:val="32"/>
          <w:szCs w:val="32"/>
        </w:rPr>
        <w:t>自评价工作还存在自我审定的局限性，影响评价质量</w:t>
      </w:r>
      <w:r>
        <w:rPr>
          <w:rFonts w:hint="eastAsia" w:ascii="仿宋_GB2312" w:eastAsia="仿宋_GB2312"/>
          <w:b w:val="0"/>
          <w:sz w:val="32"/>
          <w:szCs w:val="32"/>
          <w:lang w:eastAsia="zh-CN"/>
        </w:rPr>
        <w:t>；</w:t>
      </w:r>
      <w:r>
        <w:rPr>
          <w:rFonts w:ascii="仿宋_GB2312" w:eastAsia="仿宋_GB2312"/>
          <w:b w:val="0"/>
          <w:sz w:val="32"/>
          <w:szCs w:val="32"/>
        </w:rPr>
        <w:t>二是</w:t>
      </w:r>
      <w:r>
        <w:rPr>
          <w:rFonts w:hint="eastAsia" w:ascii="仿宋_GB2312" w:eastAsia="仿宋_GB2312"/>
          <w:b w:val="0"/>
          <w:sz w:val="32"/>
          <w:szCs w:val="32"/>
          <w:lang w:val="en-US" w:eastAsia="zh-CN"/>
        </w:rPr>
        <w:t>追加预算中政府采购项目存在采购周期长，影响项目执行。</w:t>
      </w:r>
      <w:r>
        <w:rPr>
          <w:rFonts w:ascii="仿宋_GB2312" w:eastAsia="仿宋_GB2312"/>
          <w:b w:val="0"/>
          <w:sz w:val="32"/>
          <w:szCs w:val="32"/>
        </w:rPr>
        <w:t>下一步改进措施：一是加强</w:t>
      </w:r>
      <w:r>
        <w:rPr>
          <w:rFonts w:hint="eastAsia" w:ascii="仿宋_GB2312" w:eastAsia="仿宋_GB2312"/>
          <w:b w:val="0"/>
          <w:sz w:val="32"/>
          <w:szCs w:val="32"/>
          <w:lang w:val="en-US" w:eastAsia="zh-CN"/>
        </w:rPr>
        <w:t>绩效评价</w:t>
      </w:r>
      <w:r>
        <w:rPr>
          <w:rFonts w:ascii="仿宋_GB2312" w:eastAsia="仿宋_GB2312"/>
          <w:b w:val="0"/>
          <w:sz w:val="32"/>
          <w:szCs w:val="32"/>
        </w:rPr>
        <w:t>专业培训</w:t>
      </w:r>
      <w:r>
        <w:rPr>
          <w:rFonts w:hint="eastAsia" w:ascii="仿宋_GB2312" w:eastAsia="仿宋_GB2312"/>
          <w:b w:val="0"/>
          <w:sz w:val="32"/>
          <w:szCs w:val="32"/>
          <w:lang w:eastAsia="zh-CN"/>
        </w:rPr>
        <w:t>，</w:t>
      </w:r>
      <w:r>
        <w:rPr>
          <w:rFonts w:ascii="仿宋_GB2312" w:eastAsia="仿宋_GB2312"/>
          <w:b w:val="0"/>
          <w:sz w:val="32"/>
          <w:szCs w:val="32"/>
        </w:rPr>
        <w:t>定期组织绩效管理培训，邀请专家或资深从业者分享经验和知识，提升绩效管理的专业能力</w:t>
      </w:r>
      <w:r>
        <w:rPr>
          <w:rFonts w:hint="eastAsia" w:ascii="仿宋_GB2312" w:eastAsia="仿宋_GB2312"/>
          <w:b w:val="0"/>
          <w:sz w:val="32"/>
          <w:szCs w:val="32"/>
          <w:lang w:eastAsia="zh-CN"/>
        </w:rPr>
        <w:t>；</w:t>
      </w:r>
      <w:r>
        <w:rPr>
          <w:rFonts w:ascii="仿宋_GB2312" w:eastAsia="仿宋_GB2312"/>
          <w:b w:val="0"/>
          <w:sz w:val="32"/>
          <w:szCs w:val="32"/>
        </w:rPr>
        <w:t>二是美术馆通过</w:t>
      </w:r>
      <w:r>
        <w:rPr>
          <w:rFonts w:hint="eastAsia" w:ascii="仿宋_GB2312" w:eastAsia="仿宋_GB2312"/>
          <w:b w:val="0"/>
          <w:sz w:val="32"/>
          <w:szCs w:val="32"/>
          <w:lang w:val="en-US" w:eastAsia="zh-CN"/>
        </w:rPr>
        <w:t>完善绩效管理体系建设，加快项目开展及资金执行管理，实现预定绩效目标</w:t>
      </w:r>
      <w:r>
        <w:rPr>
          <w:rFonts w:ascii="仿宋_GB2312" w:eastAsia="仿宋_GB2312"/>
          <w:b w:val="0"/>
          <w:sz w:val="32"/>
          <w:szCs w:val="32"/>
        </w:rPr>
        <w:t>。具体附项目支出绩效自评表</w:t>
      </w:r>
      <w:r>
        <w:rPr>
          <w:rFonts w:hint="eastAsia" w:ascii="仿宋_GB2312" w:eastAsia="仿宋_GB2312"/>
          <w:b w:val="0"/>
          <w:sz w:val="32"/>
          <w:szCs w:val="32"/>
          <w:lang w:eastAsia="zh-CN"/>
        </w:rPr>
        <w:t>（见附件</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bookmarkStart w:id="0" w:name="OLE_LINK1"/>
      <w:r>
        <w:rPr>
          <w:rFonts w:ascii="仿宋_GB2312" w:eastAsia="仿宋_GB2312"/>
          <w:b w:val="0"/>
          <w:sz w:val="32"/>
          <w:szCs w:val="32"/>
        </w:rPr>
        <w:t>本单位无其他需说明事项。</w:t>
      </w:r>
      <w:bookmarkEnd w:id="0"/>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w:t>
      </w:r>
      <w:r>
        <w:rPr>
          <w:rFonts w:hint="eastAsia" w:ascii="黑体" w:eastAsia="黑体"/>
          <w:b w:val="0"/>
          <w:sz w:val="32"/>
          <w:szCs w:val="32"/>
          <w:lang w:val="en-US" w:eastAsia="zh-CN"/>
        </w:rPr>
        <w:t>件1</w:t>
      </w:r>
      <w:r>
        <w:rPr>
          <w:rFonts w:ascii="黑体" w:eastAsia="黑体"/>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jc w:val="center"/>
        <w:textAlignment w:val="auto"/>
        <w:rPr>
          <w:rFonts w:hint="eastAsia" w:ascii="黑体" w:hAnsi="Times New Roman" w:eastAsia="黑体" w:cs="Times New Roman"/>
          <w:b w:val="0"/>
          <w:sz w:val="32"/>
          <w:szCs w:val="32"/>
        </w:rPr>
      </w:pPr>
      <w:r>
        <w:rPr>
          <w:rFonts w:hint="eastAsia" w:ascii="黑体" w:hAnsi="Times New Roman" w:eastAsia="黑体" w:cs="Times New Roman"/>
          <w:b w:val="0"/>
          <w:sz w:val="32"/>
          <w:szCs w:val="32"/>
        </w:rPr>
        <w:fldChar w:fldCharType="begin"/>
      </w:r>
      <w:r>
        <w:rPr>
          <w:rFonts w:hint="eastAsia" w:ascii="黑体" w:hAnsi="Times New Roman" w:eastAsia="黑体" w:cs="Times New Roman"/>
          <w:b w:val="0"/>
          <w:sz w:val="32"/>
          <w:szCs w:val="32"/>
        </w:rPr>
        <w:instrText xml:space="preserve"> HYPERLINK \l _Toc25218 </w:instrText>
      </w:r>
      <w:r>
        <w:rPr>
          <w:rFonts w:hint="eastAsia" w:ascii="黑体" w:hAnsi="Times New Roman" w:eastAsia="黑体" w:cs="Times New Roman"/>
          <w:b w:val="0"/>
          <w:sz w:val="32"/>
          <w:szCs w:val="32"/>
        </w:rPr>
        <w:fldChar w:fldCharType="separate"/>
      </w:r>
      <w:r>
        <w:rPr>
          <w:rFonts w:hint="eastAsia" w:ascii="黑体" w:hAnsi="Times New Roman" w:eastAsia="黑体" w:cs="Times New Roman"/>
          <w:b w:val="0"/>
          <w:sz w:val="32"/>
          <w:szCs w:val="32"/>
        </w:rPr>
        <w:t>第</w:t>
      </w:r>
      <w:r>
        <w:rPr>
          <w:rFonts w:hint="eastAsia" w:ascii="黑体" w:hAnsi="Times New Roman" w:eastAsia="黑体" w:cs="Times New Roman"/>
          <w:b w:val="0"/>
          <w:sz w:val="32"/>
          <w:szCs w:val="32"/>
          <w:lang w:val="en-US" w:eastAsia="zh-CN"/>
        </w:rPr>
        <w:t>五部分 项目绩效自评</w:t>
      </w:r>
      <w:r>
        <w:rPr>
          <w:rFonts w:hint="eastAsia" w:ascii="黑体" w:hAnsi="Times New Roman" w:eastAsia="黑体" w:cs="Times New Roman"/>
          <w:b w:val="0"/>
          <w:sz w:val="32"/>
          <w:szCs w:val="32"/>
        </w:rPr>
        <w:t>表（见附</w:t>
      </w:r>
      <w:r>
        <w:rPr>
          <w:rFonts w:hint="eastAsia" w:ascii="黑体" w:hAnsi="Times New Roman" w:eastAsia="黑体" w:cs="Times New Roman"/>
          <w:b w:val="0"/>
          <w:sz w:val="32"/>
          <w:szCs w:val="32"/>
          <w:lang w:val="en-US" w:eastAsia="zh-CN"/>
        </w:rPr>
        <w:t>件2</w:t>
      </w:r>
      <w:r>
        <w:rPr>
          <w:rFonts w:hint="eastAsia" w:ascii="黑体" w:hAnsi="Times New Roman" w:eastAsia="黑体" w:cs="Times New Roman"/>
          <w:b w:val="0"/>
          <w:sz w:val="32"/>
          <w:szCs w:val="32"/>
        </w:rPr>
        <w:t>）</w:t>
      </w:r>
      <w:r>
        <w:rPr>
          <w:rFonts w:hint="eastAsia" w:ascii="黑体" w:hAnsi="Times New Roman" w:eastAsia="黑体" w:cs="Times New Roman"/>
          <w:b w:val="0"/>
          <w:sz w:val="32"/>
          <w:szCs w:val="32"/>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jc w:val="center"/>
        <w:textAlignment w:val="auto"/>
        <w:rPr>
          <w:rFonts w:hint="eastAsia" w:ascii="黑体" w:hAnsi="Times New Roman" w:eastAsia="黑体" w:cs="Times New Roman"/>
          <w:b w:val="0"/>
          <w:sz w:val="32"/>
          <w:szCs w:val="32"/>
        </w:rPr>
      </w:pPr>
      <w:r>
        <w:rPr>
          <w:rFonts w:hint="eastAsia" w:ascii="黑体" w:eastAsia="黑体" w:cs="Times New Roman"/>
          <w:b w:val="0"/>
          <w:sz w:val="32"/>
          <w:szCs w:val="32"/>
          <w:lang w:val="en-US" w:eastAsia="zh-CN"/>
        </w:rPr>
        <w:t xml:space="preserve">    </w:t>
      </w:r>
      <w:bookmarkStart w:id="1" w:name="_GoBack"/>
      <w:bookmarkEnd w:id="1"/>
      <w:r>
        <w:rPr>
          <w:rFonts w:hint="eastAsia" w:ascii="黑体" w:hAnsi="Times New Roman" w:eastAsia="黑体" w:cs="Times New Roman"/>
          <w:b w:val="0"/>
          <w:sz w:val="32"/>
          <w:szCs w:val="32"/>
        </w:rPr>
        <w:fldChar w:fldCharType="begin"/>
      </w:r>
      <w:r>
        <w:rPr>
          <w:rFonts w:hint="eastAsia" w:ascii="黑体" w:hAnsi="Times New Roman" w:eastAsia="黑体" w:cs="Times New Roman"/>
          <w:b w:val="0"/>
          <w:sz w:val="32"/>
          <w:szCs w:val="32"/>
        </w:rPr>
        <w:instrText xml:space="preserve"> HYPERLINK \l _Toc25218 </w:instrText>
      </w:r>
      <w:r>
        <w:rPr>
          <w:rFonts w:hint="eastAsia" w:ascii="黑体" w:hAnsi="Times New Roman" w:eastAsia="黑体" w:cs="Times New Roman"/>
          <w:b w:val="0"/>
          <w:sz w:val="32"/>
          <w:szCs w:val="32"/>
        </w:rPr>
        <w:fldChar w:fldCharType="separate"/>
      </w:r>
      <w:r>
        <w:rPr>
          <w:rFonts w:hint="eastAsia" w:ascii="黑体" w:hAnsi="Times New Roman" w:eastAsia="黑体" w:cs="Times New Roman"/>
          <w:b w:val="0"/>
          <w:sz w:val="32"/>
          <w:szCs w:val="32"/>
        </w:rPr>
        <w:t>第</w:t>
      </w:r>
      <w:r>
        <w:rPr>
          <w:rFonts w:hint="eastAsia" w:ascii="黑体" w:hAnsi="Times New Roman" w:eastAsia="黑体" w:cs="Times New Roman"/>
          <w:b w:val="0"/>
          <w:sz w:val="32"/>
          <w:szCs w:val="32"/>
          <w:lang w:val="en-US" w:eastAsia="zh-CN"/>
        </w:rPr>
        <w:t>六部分 项目绩效自评报告</w:t>
      </w:r>
      <w:r>
        <w:rPr>
          <w:rFonts w:hint="eastAsia" w:ascii="黑体" w:hAnsi="Times New Roman" w:eastAsia="黑体" w:cs="Times New Roman"/>
          <w:b w:val="0"/>
          <w:sz w:val="32"/>
          <w:szCs w:val="32"/>
        </w:rPr>
        <w:t>（见附</w:t>
      </w:r>
      <w:r>
        <w:rPr>
          <w:rFonts w:hint="eastAsia" w:ascii="黑体" w:hAnsi="Times New Roman" w:eastAsia="黑体" w:cs="Times New Roman"/>
          <w:b w:val="0"/>
          <w:sz w:val="32"/>
          <w:szCs w:val="32"/>
          <w:lang w:val="en-US" w:eastAsia="zh-CN"/>
        </w:rPr>
        <w:t>件3</w:t>
      </w:r>
      <w:r>
        <w:rPr>
          <w:rFonts w:hint="eastAsia" w:ascii="黑体" w:hAnsi="Times New Roman" w:eastAsia="黑体" w:cs="Times New Roman"/>
          <w:b w:val="0"/>
          <w:sz w:val="32"/>
          <w:szCs w:val="32"/>
        </w:rPr>
        <w:t>）</w:t>
      </w:r>
      <w:r>
        <w:rPr>
          <w:rFonts w:hint="eastAsia" w:ascii="黑体" w:hAnsi="Times New Roman" w:eastAsia="黑体" w:cs="Times New Roman"/>
          <w:b w:val="0"/>
          <w:sz w:val="32"/>
          <w:szCs w:val="32"/>
        </w:rPr>
        <w:fldChar w:fldCharType="end"/>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b w:val="0"/>
          <w:sz w:val="32"/>
          <w:szCs w:val="32"/>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isplayHorizontalDrawingGridEvery w:val="1"/>
  <w:displayVerticalDrawingGridEvery w:val="1"/>
  <w:noPunctuationKerning w:val="true"/>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D7146"/>
    <w:rsid w:val="01B701A0"/>
    <w:rsid w:val="02182ED7"/>
    <w:rsid w:val="04242B26"/>
    <w:rsid w:val="05654BD2"/>
    <w:rsid w:val="09BA2AC6"/>
    <w:rsid w:val="0AF46409"/>
    <w:rsid w:val="0AF53DB5"/>
    <w:rsid w:val="0B661F04"/>
    <w:rsid w:val="0C490643"/>
    <w:rsid w:val="0C4F56AC"/>
    <w:rsid w:val="0D1B1A8F"/>
    <w:rsid w:val="0D433361"/>
    <w:rsid w:val="0E6D0107"/>
    <w:rsid w:val="11CE2866"/>
    <w:rsid w:val="13EC78F0"/>
    <w:rsid w:val="14595396"/>
    <w:rsid w:val="16006727"/>
    <w:rsid w:val="1A336774"/>
    <w:rsid w:val="1D3D0A99"/>
    <w:rsid w:val="1DD022BD"/>
    <w:rsid w:val="1FED35BF"/>
    <w:rsid w:val="23D61CB4"/>
    <w:rsid w:val="23D817D5"/>
    <w:rsid w:val="2968673D"/>
    <w:rsid w:val="2ACE7D9D"/>
    <w:rsid w:val="2EEF5BB2"/>
    <w:rsid w:val="2FAD7BBD"/>
    <w:rsid w:val="306A1ED8"/>
    <w:rsid w:val="31CC7489"/>
    <w:rsid w:val="32316974"/>
    <w:rsid w:val="3233503A"/>
    <w:rsid w:val="33F43EB0"/>
    <w:rsid w:val="350C616B"/>
    <w:rsid w:val="35725E7F"/>
    <w:rsid w:val="38893E8B"/>
    <w:rsid w:val="39297CB5"/>
    <w:rsid w:val="39A44AD0"/>
    <w:rsid w:val="3B934DA1"/>
    <w:rsid w:val="3C0870D9"/>
    <w:rsid w:val="3D9F29DA"/>
    <w:rsid w:val="3DA731A6"/>
    <w:rsid w:val="3FF53277"/>
    <w:rsid w:val="41406E31"/>
    <w:rsid w:val="4346094B"/>
    <w:rsid w:val="48D54167"/>
    <w:rsid w:val="49592B22"/>
    <w:rsid w:val="4BF52BCF"/>
    <w:rsid w:val="4E666691"/>
    <w:rsid w:val="4E8A3A2E"/>
    <w:rsid w:val="52426781"/>
    <w:rsid w:val="536D55EA"/>
    <w:rsid w:val="55FB1898"/>
    <w:rsid w:val="5A0208F9"/>
    <w:rsid w:val="5C7F4AF2"/>
    <w:rsid w:val="5DE84D18"/>
    <w:rsid w:val="5E390C55"/>
    <w:rsid w:val="5EAA206F"/>
    <w:rsid w:val="5F336491"/>
    <w:rsid w:val="63B33835"/>
    <w:rsid w:val="67295F25"/>
    <w:rsid w:val="67B338A5"/>
    <w:rsid w:val="67E0036E"/>
    <w:rsid w:val="6ABD5C50"/>
    <w:rsid w:val="6DFE4C37"/>
    <w:rsid w:val="6EFE3D04"/>
    <w:rsid w:val="72BF2DE3"/>
    <w:rsid w:val="7F98366E"/>
    <w:rsid w:val="E7357C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toc 1"/>
    <w:basedOn w:val="1"/>
    <w:next w:val="1"/>
    <w:qFormat/>
    <w:uiPriority w:val="0"/>
  </w:style>
  <w:style w:type="paragraph" w:styleId="4">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6058</Words>
  <Characters>6875</Characters>
  <TotalTime>0</TotalTime>
  <ScaleCrop>false</ScaleCrop>
  <LinksUpToDate>false</LinksUpToDate>
  <CharactersWithSpaces>6883</CharactersWithSpaces>
  <Application>WPS Office_11.8.2.10251_F1E327BC-269C-435d-A152-05C5408002CA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2025-08-14T19:44:00Z</dcterms:created>
  <dc:creator>iFound</dc:creator>
  <cp:lastModifiedBy>wlt</cp:lastModifiedBy>
  <dcterms:modified xsi:type="dcterms:W3CDTF">2025-08-28T12:56:00Z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TemplateDocerSaveRecord">
    <vt:lpwstr>eyJoZGlkIjoiNGU5YTk2NWU3OTRhNTU0YjZlNWE0ODExMjY4YzM0MTgiLCJ1c2VySWQiOiI0MTU4NjEyMTkifQ==</vt:lpwstr>
  </property>
  <property fmtid="{D5CDD505-2E9C-101B-9397-08002B2CF9AE}" pid="4" name="ICV">
    <vt:lpwstr>34180BF354F34C9CAE732EB10BA0FBD3_13</vt:lpwstr>
  </property>
</Properties>
</file>